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rPr>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rPr>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rPr>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rPr>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rPr>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trHeight w:val="567" w:hRule="atLeast"/>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trHeight w:val="567" w:hRule="atLeast"/>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rPr>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RM6226 Debt Resolution Services</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7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m3ej3HY+TyqX7lSXQ8IMzRzCiA==">AMUW2mWxBKAeH2rP3ipdpKhwiGXb31MCsDQixoyPejqdCyc/BzUFE2KmtrV1+Ei3u9rXE5faqqMevjbl8psofsTnnGk02plSfE3sEYFBEmN2cNqNI5HXift5Xi2cyVJHo5QZ58cSx4JBxrUL/GgvBvCksqb89BHYh/dLqCWaoxJknbPcw/bPfrirszaUr/NZ9zDKPtEgFwo6EVmgglfmZmN+Ri6XKBYJALveXQteNj8ywNtERkZlCrU7C9sXuLXIVzhLxr9zW2kSbAGYrXlqeXy+WqUs6uajWZRs+zHg+WGH/hI1wzM+1hfwAS/z9QLjNPAeaWS/4HhlWFbQJrEd4sqA4O13unvywV/jx4YYVVdRmqGv/otLjQaeAZqBfCuzhKtwRpsmm5HoUTZiRmdimDz5P81ImYA25SKkVuhMa4vH0mfYnTXBMl2YTSHqD8jy68xF2/99qmR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2020-02-27T14:12:00Z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